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ddb028bd6da9c91dcca5c7a60313d176dcc12"/>
    <w:p>
      <w:pPr>
        <w:pStyle w:val="Heading3"/>
      </w:pPr>
      <w:r>
        <w:t xml:space="preserve">У детской площадки на Онежской улице появятся новые игровые комплексы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rPr>
          <w:iCs/>
          <w:i/>
          <w:bCs/>
          <w:b/>
        </w:rPr>
        <w:t xml:space="preserve">На очередном заседании Совета депутатов Головинского района было принято решение направить средства на ряд работ по благоустройству района. Об этом сообщается на официальном сайте муниципального округа Головинский.</w:t>
      </w:r>
    </w:p>
    <w:p>
      <w:pPr>
        <w:pStyle w:val="BodyText"/>
      </w:pPr>
      <w:r>
        <w:rPr>
          <w:iCs/>
          <w:i/>
        </w:rPr>
        <w:t xml:space="preserve">«На Солнечногорской улице пройдет ремонт входной группы помещения МБУ «ДЦ „РОДНИК“. На Онежской улице у дома 2, корп. 3 установят новые лавочки и игровые комплексы на территории детской площадки. Также запланирована покупка 70 антипарковочных столбиков», — говорится в тексте соответствующего решения.</w:t>
      </w:r>
    </w:p>
    <w:p>
      <w:pPr>
        <w:pStyle w:val="BodyText"/>
      </w:pPr>
      <w:r>
        <w:t xml:space="preserve">Отмечается, что размер выделенных средств составит 2 986 600 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http://golovinskiy.mos.ru/presscenter/news/detail/10365673.html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365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365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2025-08-01T05:24:13Z</dcterms:created>
  <dcterms:modified xsi:type="dcterms:W3CDTF">2025-08-01T05:24:13Z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