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6336855ee1ec0e6c15a78b321902a50622cf5"/>
    <w:p>
      <w:pPr>
        <w:pStyle w:val="Heading3"/>
      </w:pPr>
      <w:r>
        <w:t xml:space="preserve">Жители Северного округа выскажут свое мнение о будущем благоустройстве парка «Грачевка»</w:t>
      </w:r>
    </w:p>
    <w:p>
      <w:pPr>
        <w:pStyle w:val="FirstParagraph"/>
      </w:pPr>
      <w:r>
        <w:t xml:space="preserve">09.03.2017</w:t>
      </w:r>
    </w:p>
    <w:p>
      <w:pPr>
        <w:pStyle w:val="BodyText"/>
      </w:pPr>
      <w:r>
        <w:rPr>
          <w:bCs/>
          <w:b/>
        </w:rPr>
        <w:t xml:space="preserve">Активные жители Северного округа решат, как благоустраивать парк «Грачевка», расположенный в соседнем районе Ховрино</w:t>
      </w:r>
    </w:p>
    <w:p>
      <w:pPr>
        <w:pStyle w:val="BodyText"/>
      </w:pPr>
      <w:r>
        <w:t xml:space="preserve">В настоящее время территория парка находится в неудовлетворительном состоянии. Тематическое интернет-голосование по этом вопросу стартовало на портале «Активный гражданин».</w:t>
      </w:r>
    </w:p>
    <w:p>
      <w:pPr>
        <w:pStyle w:val="BodyText"/>
      </w:pPr>
      <w:r>
        <w:t xml:space="preserve">Зарегистрированным пользователям предлагают высказаться за проект благоустройства зеленой зоны, отклонить его или предложить свои варианты.</w:t>
      </w:r>
    </w:p>
    <w:p>
      <w:pPr>
        <w:pStyle w:val="BodyText"/>
      </w:pPr>
      <w:r>
        <w:t xml:space="preserve">Отметим, разработанная концепция благоустройства парка «Грачевка» предусматривает ремонт ограждения парка, обустройство детских и спортивных площадок, поля для мини-футбола, а также восстановление зеленых насаждений, создание велодорожки, воссоздание исторических беседок, устройство системы освещения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http://golovinskiy.mos.ru/presscenter/news/detail/5182701.html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182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182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2024-11-06T01:38:18Z</dcterms:created>
  <dcterms:modified xsi:type="dcterms:W3CDTF">2024-11-06T01:38:18Z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